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Subject Categories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Organization: Acme Inc</w:t>
      </w:r>
    </w:p>
    <w:p>
      <w:r>
        <w:t xml:space="preserve">Project: nextjs-saas-example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Overview</w:t>
      </w:r>
    </w:p>
    <w:p>
      <w:r>
        <w:t xml:space="preserve">This document identifies the categories of individuals (data subjects) whose personal data is processed by this system, as required by GDPR Article 30.</w:t>
      </w:r>
    </w:p>
    <w:p>
      <w:pPr>
        <w:pStyle w:val="Heading2"/>
      </w:pPr>
      <w:r>
        <w:t>Data Subject Categories</w:t>
      </w:r>
    </w:p>
    <w:p>
      <w:r>
        <w:rPr>
          <w:sz w:val="20"/>
        </w:rPr>
        <w:t xml:space="preserve">Category  |  Data Types  |  Legal Basis  |  Retention</w:t>
      </w:r>
    </w:p>
    <w:p>
      <w:r>
        <w:rPr>
          <w:sz w:val="20"/>
        </w:rPr>
        <w:t xml:space="preserve">**End Users / Customers**  |  Name, email, account credentials, usage data  |  Contract performance (Art. 6(1)(b))  |  Duration of account + 30 days</w:t>
      </w:r>
    </w:p>
    <w:p>
      <w:r>
        <w:rPr>
          <w:sz w:val="20"/>
        </w:rPr>
        <w:t xml:space="preserve">**Paying Customers**  |  Payment method, billing address, transaction history  |  Contract performance (Art. 6(1)(b))  |  As required by tax law</w:t>
      </w:r>
    </w:p>
    <w:p>
      <w:r>
        <w:rPr>
          <w:sz w:val="20"/>
        </w:rPr>
        <w:t xml:space="preserve">**Website Visitors**  |  IP address, browser info, cookies, page views  |  Legitimate interest / Consent (Art. 6(1)(f)/(a))  |  26 months</w:t>
      </w:r>
    </w:p>
    <w:p>
      <w:r>
        <w:rPr>
          <w:sz w:val="20"/>
        </w:rPr>
        <w:t xml:space="preserve">**Support Contacts**  |  Name, email, support ticket content  |  Legitimate interest (Art. 6(1)(f))  |  2 years after last contact</w:t>
      </w:r>
    </w:p>
    <w:p>
      <w:pPr>
        <w:pStyle w:val="Heading2"/>
      </w:pPr>
      <w:r>
        <w:t>Review Notes</w:t>
      </w:r>
    </w:p>
    <w:p>
      <w:pPr>
        <w:pStyle w:val="ListParagraph"/>
        <w:numPr>
          <w:ilvl w:val="0"/>
          <w:numId w:val="1"/>
        </w:numPr>
      </w:pPr>
      <w:r>
        <w:t xml:space="preserve">Review frequency: Annually</w:t>
      </w:r>
    </w:p>
    <w:p>
      <w:pPr>
        <w:pStyle w:val="ListParagraph"/>
        <w:numPr>
          <w:ilvl w:val="0"/>
          <w:numId w:val="1"/>
        </w:numPr>
      </w:pPr>
      <w:r>
        <w:t xml:space="preserve">Last reviewed: 2026-03-19</w:t>
      </w:r>
    </w:p>
    <w:p>
      <w:pPr>
        <w:pStyle w:val="ListParagraph"/>
        <w:numPr>
          <w:ilvl w:val="0"/>
          <w:numId w:val="1"/>
        </w:numPr>
      </w:pPr>
      <w:r>
        <w:t xml:space="preserve">Next review: 2027-03-19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[Privacy Policy](./PRIVACY_POLICY.md)</w:t>
      </w:r>
    </w:p>
    <w:p>
      <w:pPr>
        <w:pStyle w:val="ListParagraph"/>
        <w:numPr>
          <w:ilvl w:val="0"/>
          <w:numId w:val="1"/>
        </w:numPr>
      </w:pPr>
      <w:r>
        <w:t xml:space="preserve">[Record of Processing Activities](./RECORD_OF_PROCESSING_ACTIVITIES.md)</w:t>
      </w:r>
    </w:p>
    <w:p>
      <w:pPr>
        <w:pStyle w:val="ListParagraph"/>
        <w:numPr>
          <w:ilvl w:val="0"/>
          <w:numId w:val="1"/>
        </w:numPr>
      </w:pPr>
      <w:r>
        <w:t xml:space="preserve">[Lawful Basis Assessment](./LAWFUL_BASIS_ASSESSMENT.md)</w:t>
      </w:r>
    </w:p>
    <w:p>
      <w:pPr>
        <w:pBdr>
          <w:bottom w:val="single" w:sz="6" w:space="1" w:color="999999"/>
        </w:pBdr>
      </w:pPr>
    </w:p>
    <w:p>
      <w:r>
        <w:t xml:space="preserve">Generated by Codepliant. Review with your DPO before finalizing.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